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Eksjö kommunfullmäktige</w:t>
      </w:r>
    </w:p>
    <w:p>
      <w:pPr>
        <w:pStyle w:val="Heading1"/>
      </w:pPr>
      <w:r>
        <w:t xml:space="preserve">Tryggare skolmiljö med tydliga ordningsregler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Eksjö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ökade anmälningar om kränkningar i Eksjös skolor. Tydliga ordningsregler och konsekvent uppföljning skapar trygghet och bättre studiero enligt Skolverkets riktlinjer.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Eksjö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kommunövergripande ordningsregler för alla grundskolor från läsåret 2027/2028.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personal i lågaffektivt bemötande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trygghetsenkäter bland elever med redovisning till nämnd.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rastvärdar på samtliga skolor.</w:t>
      </w:r>
    </w:p>
    <w:p>
      <w:pPr>
        <w:spacing w:before="360"/>
      </w:pPr>
    </w:p>
    <w:p>
      <w:r>
        <w:t xml:space="preserve">Eksjö,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Eksjö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2026-07-14T02:44:20.385Z</dcterms:created>
  <dcterms:modified xsi:type="dcterms:W3CDTF">2026-07-14T02:44:20.385Z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